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Calibri" w:cs="Calibri" w:eastAsia="Calibri" w:hAnsi="Calibri"/>
          <w:b/>
          <w:bCs/>
          <w:color w:val="A8843F"/>
          <w:spacing w:val="120"/>
          <w:sz w:val="18"/>
          <w:szCs w:val="18"/>
        </w:rPr>
        <w:t xml:space="preserve">CURRICULUM VITAE</w:t>
      </w:r>
    </w:p>
    <w:p>
      <w:pPr>
        <w:spacing w:after="40" w:before="60"/>
        <w:jc w:val="center"/>
      </w:pPr>
      <w:r>
        <w:rPr>
          <w:rFonts w:ascii="Cambria" w:cs="Cambria" w:eastAsia="Cambria" w:hAnsi="Cambria"/>
          <w:b/>
          <w:bCs/>
          <w:color w:val="1F3A5F"/>
          <w:sz w:val="48"/>
          <w:szCs w:val="48"/>
        </w:rPr>
        <w:t xml:space="preserve">Prof. Ajai Kumar Srivastav</w:t>
      </w:r>
    </w:p>
    <w:p>
      <w:pPr>
        <w:spacing w:after="30"/>
        <w:jc w:val="center"/>
      </w:pPr>
      <w:r>
        <w:rPr>
          <w:rFonts w:ascii="Calibri" w:cs="Calibri" w:eastAsia="Calibri" w:hAnsi="Calibri"/>
          <w:color w:val="595959"/>
          <w:sz w:val="22"/>
          <w:szCs w:val="22"/>
        </w:rPr>
        <w:t xml:space="preserve">Former Emeritus Professor, Department of Zoology</w:t>
      </w:r>
    </w:p>
    <w:p>
      <w:pPr>
        <w:spacing w:after="30"/>
        <w:jc w:val="center"/>
      </w:pPr>
      <w:r>
        <w:rPr>
          <w:rFonts w:ascii="Calibri" w:cs="Calibri" w:eastAsia="Calibri" w:hAnsi="Calibri"/>
          <w:color w:val="595959"/>
          <w:sz w:val="22"/>
          <w:szCs w:val="22"/>
        </w:rPr>
        <w:t xml:space="preserve">Deen Dayal Upadhyaya Gorakhpur University, Gorakhpur, India</w:t>
      </w:r>
    </w:p>
    <w:p>
      <w:pPr>
        <w:spacing w:after="120"/>
        <w:jc w:val="center"/>
      </w:pPr>
      <w:r>
        <w:rPr>
          <w:rFonts w:ascii="Calibri" w:cs="Calibri" w:eastAsia="Calibri" w:hAnsi="Calibri"/>
          <w:b/>
          <w:bCs/>
          <w:color w:val="A8843F"/>
          <w:sz w:val="21"/>
          <w:szCs w:val="21"/>
        </w:rPr>
        <w:t xml:space="preserve">Fellow, National Academy of Sciences, India (FNASc)</w:t>
      </w:r>
    </w:p>
    <w:p>
      <w:pPr>
        <w:pBdr>
          <w:top w:val="single" w:color="1F3A5F" w:sz="6" w:space="6"/>
          <w:bottom w:val="single" w:color="1F3A5F" w:sz="6" w:space="6"/>
        </w:pBdr>
        <w:spacing w:after="60"/>
        <w:jc w:val="center"/>
      </w:pPr>
      <w:r>
        <w:rPr>
          <w:rFonts w:ascii="Calibri" w:cs="Calibri" w:eastAsia="Calibri" w:hAnsi="Calibri"/>
          <w:b/>
          <w:bCs/>
          <w:color w:val="1F3A5F"/>
          <w:sz w:val="20"/>
          <w:szCs w:val="20"/>
        </w:rPr>
        <w:t xml:space="preserve">Email: </w:t>
      </w:r>
      <w:r>
        <w:rPr>
          <w:rFonts w:ascii="Calibri" w:cs="Calibri" w:eastAsia="Calibri" w:hAnsi="Calibri"/>
          <w:sz w:val="20"/>
          <w:szCs w:val="20"/>
        </w:rPr>
        <w:t xml:space="preserve">ajaiksrivastav@hotmail.com</w:t>
      </w:r>
      <w:r>
        <w:rPr>
          <w:rFonts w:ascii="Calibri" w:cs="Calibri" w:eastAsia="Calibri" w:hAnsi="Calibri"/>
          <w:color w:val="A8843F"/>
          <w:sz w:val="20"/>
          <w:szCs w:val="20"/>
        </w:rPr>
        <w:t xml:space="preserve">     |     </w:t>
      </w:r>
      <w:r>
        <w:rPr>
          <w:rFonts w:ascii="Calibri" w:cs="Calibri" w:eastAsia="Calibri" w:hAnsi="Calibri"/>
          <w:b/>
          <w:bCs/>
          <w:color w:val="1F3A5F"/>
          <w:sz w:val="20"/>
          <w:szCs w:val="20"/>
        </w:rPr>
        <w:t xml:space="preserve">Mobile: </w:t>
      </w:r>
      <w:r>
        <w:rPr>
          <w:rFonts w:ascii="Calibri" w:cs="Calibri" w:eastAsia="Calibri" w:hAnsi="Calibri"/>
          <w:sz w:val="20"/>
          <w:szCs w:val="20"/>
        </w:rPr>
        <w:t xml:space="preserve">+91 93364 00846</w:t>
      </w:r>
      <w:r>
        <w:rPr>
          <w:rFonts w:ascii="Calibri" w:cs="Calibri" w:eastAsia="Calibri" w:hAnsi="Calibri"/>
          <w:color w:val="A8843F"/>
          <w:sz w:val="20"/>
          <w:szCs w:val="20"/>
        </w:rPr>
        <w:t xml:space="preserve">     |     </w:t>
      </w:r>
      <w:r>
        <w:rPr>
          <w:rFonts w:ascii="Calibri" w:cs="Calibri" w:eastAsia="Calibri" w:hAnsi="Calibri"/>
          <w:b/>
          <w:bCs/>
          <w:color w:val="1F3A5F"/>
          <w:sz w:val="20"/>
          <w:szCs w:val="20"/>
        </w:rPr>
        <w:t xml:space="preserve">Date of Birth: </w:t>
      </w:r>
      <w:r>
        <w:rPr>
          <w:rFonts w:ascii="Calibri" w:cs="Calibri" w:eastAsia="Calibri" w:hAnsi="Calibri"/>
          <w:sz w:val="20"/>
          <w:szCs w:val="20"/>
        </w:rPr>
        <w:t xml:space="preserve">1 July 1953</w:t>
      </w:r>
    </w:p>
    <w:p>
      <w:pPr>
        <w:spacing w:after="60" w:before="60"/>
        <w:jc w:val="center"/>
      </w:pPr>
      <w:r>
        <w:rPr>
          <w:rFonts w:ascii="Calibri" w:cs="Calibri" w:eastAsia="Calibri" w:hAnsi="Calibri"/>
          <w:b/>
          <w:bCs/>
          <w:color w:val="1F3A5F"/>
          <w:sz w:val="21"/>
          <w:szCs w:val="21"/>
        </w:rPr>
        <w:t xml:space="preserve">Comparative Vertebrate Endocrinology</w:t>
      </w:r>
      <w:r>
        <w:rPr>
          <w:rFonts w:ascii="Calibri" w:cs="Calibri" w:eastAsia="Calibri" w:hAnsi="Calibri"/>
          <w:color w:val="A8843F"/>
          <w:sz w:val="16"/>
          <w:szCs w:val="16"/>
        </w:rPr>
        <w:t xml:space="preserve">   ◆   </w:t>
      </w:r>
      <w:r>
        <w:rPr>
          <w:rFonts w:ascii="Calibri" w:cs="Calibri" w:eastAsia="Calibri" w:hAnsi="Calibri"/>
          <w:b/>
          <w:bCs/>
          <w:color w:val="1F3A5F"/>
          <w:sz w:val="21"/>
          <w:szCs w:val="21"/>
        </w:rPr>
        <w:t xml:space="preserve">Endocrine Toxicity</w:t>
      </w:r>
      <w:r>
        <w:rPr>
          <w:rFonts w:ascii="Calibri" w:cs="Calibri" w:eastAsia="Calibri" w:hAnsi="Calibri"/>
          <w:color w:val="A8843F"/>
          <w:sz w:val="16"/>
          <w:szCs w:val="16"/>
        </w:rPr>
        <w:t xml:space="preserve">   ◆   </w:t>
      </w:r>
      <w:r>
        <w:rPr>
          <w:rFonts w:ascii="Calibri" w:cs="Calibri" w:eastAsia="Calibri" w:hAnsi="Calibri"/>
          <w:b/>
          <w:bCs/>
          <w:color w:val="1F3A5F"/>
          <w:sz w:val="21"/>
          <w:szCs w:val="21"/>
        </w:rPr>
        <w:t xml:space="preserve">Aquatic Toxicology</w:t>
      </w:r>
      <w:r>
        <w:rPr>
          <w:rFonts w:ascii="Calibri" w:cs="Calibri" w:eastAsia="Calibri" w:hAnsi="Calibri"/>
          <w:color w:val="A8843F"/>
          <w:sz w:val="16"/>
          <w:szCs w:val="16"/>
        </w:rPr>
        <w:t xml:space="preserve">   ◆   </w:t>
      </w:r>
      <w:r>
        <w:rPr>
          <w:rFonts w:ascii="Calibri" w:cs="Calibri" w:eastAsia="Calibri" w:hAnsi="Calibri"/>
          <w:b/>
          <w:bCs/>
          <w:color w:val="1F3A5F"/>
          <w:sz w:val="21"/>
          <w:szCs w:val="21"/>
        </w:rPr>
        <w:t xml:space="preserve">Fishery Biology</w:t>
      </w:r>
    </w:p>
    <w:p>
      <w:pPr>
        <w:keepNext/>
        <w:pBdr>
          <w:bottom w:val="single" w:color="A8843F" w:sz="8" w:space="3"/>
        </w:pBdr>
        <w:spacing w:after="120" w:before="300"/>
      </w:pPr>
      <w:r>
        <w:rPr>
          <w:rFonts w:ascii="Cambria" w:cs="Cambria" w:eastAsia="Cambria" w:hAnsi="Cambria"/>
          <w:b/>
          <w:bCs/>
          <w:color w:val="1F3A5F"/>
          <w:spacing w:val="30"/>
          <w:sz w:val="24"/>
          <w:szCs w:val="24"/>
        </w:rPr>
        <w:t xml:space="preserve">PROFILE</w:t>
      </w:r>
    </w:p>
    <w:p>
      <w:pPr>
        <w:spacing w:after="100" w:line="276"/>
        <w:jc w:val="both"/>
      </w:pPr>
      <w:r>
        <w:rPr>
          <w:rFonts w:ascii="Calibri" w:cs="Calibri" w:eastAsia="Calibri" w:hAnsi="Calibri"/>
          <w:sz w:val="21"/>
          <w:szCs w:val="21"/>
        </w:rPr>
        <w:t xml:space="preserve">Professor Srivastav is a comparative endocrinologist whose career spans more than five decades of research and teaching at D.D.U. Gorakhpur University. His work centres on the hormonal regulation of calcium in vertebrates, the toxic effects of pesticides and heavy metals on endocrine glands, and protective therapies against mercury toxicity. Many of his findings are first reports in the field, and his early work on stanniocalcin opened a line of research later taken up worldwide. He has held research fellowships in Germany, Japan, the Netherlands and the Czech Republic, and has been recognised with the Saraswati Samman, the highest academic award of the Government of Uttar Pradesh.</w:t>
      </w:r>
    </w:p>
    <w:p>
      <w:pPr>
        <w:spacing w:after="60"/>
      </w:pPr>
    </w:p>
    <w:tbl>
      <w:tblPr>
        <w:tblW w:type="dxa" w:w="9746"/>
        <w:tblBorders>
          <w:top w:val="none" w:color="FFFFFF" w:sz="0"/>
          <w:left w:val="none" w:color="FFFFFF" w:sz="0"/>
          <w:bottom w:val="none" w:color="FFFFFF" w:sz="0"/>
          <w:right w:val="none" w:color="FFFFFF" w:sz="0"/>
          <w:insideH w:val="none" w:color="FFFFFF" w:sz="0"/>
          <w:insideV w:val="single" w:color="FFFFFF" w:sz="6"/>
        </w:tblBorders>
        <w:tblLayout w:type="fixed"/>
      </w:tblPr>
      <w:tblGrid>
        <w:gridCol w:w="2436"/>
        <w:gridCol w:w="2436"/>
        <w:gridCol w:w="2436"/>
        <w:gridCol w:w="2438"/>
      </w:tblGrid>
      <w:tr>
        <w:tc>
          <w:tcPr>
            <w:tcW w:type="dxa" w:w="2436"/>
            <w:shd w:fill="EEF2F7" w:color="auto" w:val="clear"/>
            <w:tcMar>
              <w:top w:type="dxa" w:w="140"/>
              <w:left w:type="dxa" w:w="100"/>
              <w:bottom w:type="dxa" w:w="140"/>
              <w:right w:type="dxa" w:w="100"/>
            </w:tcMar>
            <w:vAlign w:val="center"/>
          </w:tcPr>
          <w:p>
            <w:pPr>
              <w:spacing w:after="20"/>
              <w:jc w:val="center"/>
            </w:pPr>
            <w:r>
              <w:rPr>
                <w:rFonts w:ascii="Cambria" w:cs="Cambria" w:eastAsia="Cambria" w:hAnsi="Cambria"/>
                <w:b/>
                <w:bCs/>
                <w:color w:val="1F3A5F"/>
                <w:sz w:val="40"/>
                <w:szCs w:val="40"/>
              </w:rPr>
              <w:t xml:space="preserve">237</w:t>
            </w:r>
          </w:p>
          <w:p>
            <w:pPr>
              <w:spacing w:after="0"/>
              <w:jc w:val="center"/>
            </w:pPr>
            <w:r>
              <w:rPr>
                <w:rFonts w:ascii="Calibri" w:cs="Calibri" w:eastAsia="Calibri" w:hAnsi="Calibri"/>
                <w:color w:val="595959"/>
                <w:sz w:val="17"/>
                <w:szCs w:val="17"/>
              </w:rPr>
              <w:t xml:space="preserve">Research papers in international journals</w:t>
            </w:r>
          </w:p>
        </w:tc>
        <w:tc>
          <w:tcPr>
            <w:tcW w:type="dxa" w:w="2436"/>
            <w:shd w:fill="EEF2F7" w:color="auto" w:val="clear"/>
            <w:tcMar>
              <w:top w:type="dxa" w:w="140"/>
              <w:left w:type="dxa" w:w="100"/>
              <w:bottom w:type="dxa" w:w="140"/>
              <w:right w:type="dxa" w:w="100"/>
            </w:tcMar>
            <w:vAlign w:val="center"/>
          </w:tcPr>
          <w:p>
            <w:pPr>
              <w:spacing w:after="20"/>
              <w:jc w:val="center"/>
            </w:pPr>
            <w:r>
              <w:rPr>
                <w:rFonts w:ascii="Cambria" w:cs="Cambria" w:eastAsia="Cambria" w:hAnsi="Cambria"/>
                <w:b/>
                <w:bCs/>
                <w:color w:val="1F3A5F"/>
                <w:sz w:val="40"/>
                <w:szCs w:val="40"/>
              </w:rPr>
              <w:t xml:space="preserve">11</w:t>
            </w:r>
          </w:p>
          <w:p>
            <w:pPr>
              <w:spacing w:after="0"/>
              <w:jc w:val="center"/>
            </w:pPr>
            <w:r>
              <w:rPr>
                <w:rFonts w:ascii="Calibri" w:cs="Calibri" w:eastAsia="Calibri" w:hAnsi="Calibri"/>
                <w:color w:val="595959"/>
                <w:sz w:val="17"/>
                <w:szCs w:val="17"/>
              </w:rPr>
              <w:t xml:space="preserve">Ph.D. students supervised to completion</w:t>
            </w:r>
          </w:p>
        </w:tc>
        <w:tc>
          <w:tcPr>
            <w:tcW w:type="dxa" w:w="2436"/>
            <w:shd w:fill="EEF2F7" w:color="auto" w:val="clear"/>
            <w:tcMar>
              <w:top w:type="dxa" w:w="140"/>
              <w:left w:type="dxa" w:w="100"/>
              <w:bottom w:type="dxa" w:w="140"/>
              <w:right w:type="dxa" w:w="100"/>
            </w:tcMar>
            <w:vAlign w:val="center"/>
          </w:tcPr>
          <w:p>
            <w:pPr>
              <w:spacing w:after="20"/>
              <w:jc w:val="center"/>
            </w:pPr>
            <w:r>
              <w:rPr>
                <w:rFonts w:ascii="Cambria" w:cs="Cambria" w:eastAsia="Cambria" w:hAnsi="Cambria"/>
                <w:b/>
                <w:bCs/>
                <w:color w:val="1F3A5F"/>
                <w:sz w:val="40"/>
                <w:szCs w:val="40"/>
              </w:rPr>
              <w:t xml:space="preserve">40+</w:t>
            </w:r>
          </w:p>
          <w:p>
            <w:pPr>
              <w:spacing w:after="0"/>
              <w:jc w:val="center"/>
            </w:pPr>
            <w:r>
              <w:rPr>
                <w:rFonts w:ascii="Calibri" w:cs="Calibri" w:eastAsia="Calibri" w:hAnsi="Calibri"/>
                <w:color w:val="595959"/>
                <w:sz w:val="17"/>
                <w:szCs w:val="17"/>
              </w:rPr>
              <w:t xml:space="preserve">Editorial &amp; advisory board roles</w:t>
            </w:r>
          </w:p>
        </w:tc>
        <w:tc>
          <w:tcPr>
            <w:tcW w:type="dxa" w:w="2438"/>
            <w:shd w:fill="EEF2F7" w:color="auto" w:val="clear"/>
            <w:tcMar>
              <w:top w:type="dxa" w:w="140"/>
              <w:left w:type="dxa" w:w="100"/>
              <w:bottom w:type="dxa" w:w="140"/>
              <w:right w:type="dxa" w:w="100"/>
            </w:tcMar>
            <w:vAlign w:val="center"/>
          </w:tcPr>
          <w:p>
            <w:pPr>
              <w:spacing w:after="20"/>
              <w:jc w:val="center"/>
            </w:pPr>
            <w:r>
              <w:rPr>
                <w:rFonts w:ascii="Cambria" w:cs="Cambria" w:eastAsia="Cambria" w:hAnsi="Cambria"/>
                <w:b/>
                <w:bCs/>
                <w:color w:val="1F3A5F"/>
                <w:sz w:val="40"/>
                <w:szCs w:val="40"/>
              </w:rPr>
              <w:t xml:space="preserve">10</w:t>
            </w:r>
          </w:p>
          <w:p>
            <w:pPr>
              <w:spacing w:after="0"/>
              <w:jc w:val="center"/>
            </w:pPr>
            <w:r>
              <w:rPr>
                <w:rFonts w:ascii="Calibri" w:cs="Calibri" w:eastAsia="Calibri" w:hAnsi="Calibri"/>
                <w:color w:val="595959"/>
                <w:sz w:val="17"/>
                <w:szCs w:val="17"/>
              </w:rPr>
              <w:t xml:space="preserve">International fellowships &amp; research visits</w:t>
            </w:r>
          </w:p>
        </w:tc>
      </w:tr>
    </w:tbl>
    <w:p>
      <w:pPr>
        <w:keepNext/>
        <w:pBdr>
          <w:bottom w:val="single" w:color="A8843F" w:sz="8" w:space="3"/>
        </w:pBdr>
        <w:spacing w:after="120" w:before="300"/>
      </w:pPr>
      <w:r>
        <w:rPr>
          <w:rFonts w:ascii="Cambria" w:cs="Cambria" w:eastAsia="Cambria" w:hAnsi="Cambria"/>
          <w:b/>
          <w:bCs/>
          <w:color w:val="1F3A5F"/>
          <w:spacing w:val="30"/>
          <w:sz w:val="24"/>
          <w:szCs w:val="24"/>
        </w:rPr>
        <w:t xml:space="preserve">HONOURS &amp; AWARDS</w:t>
      </w:r>
    </w:p>
    <w:tbl>
      <w:tblPr>
        <w:tblW w:type="dxa" w:w="9746"/>
        <w:tblBorders>
          <w:top w:val="none" w:color="FFFFFF" w:sz="0"/>
          <w:left w:val="none" w:color="FFFFFF" w:sz="0"/>
          <w:bottom w:val="single" w:color="D0D7E2" w:sz="4"/>
          <w:right w:val="none" w:color="FFFFFF" w:sz="0"/>
          <w:insideH w:val="single" w:color="D0D7E2" w:sz="4"/>
          <w:insideV w:val="none" w:color="FFFFFF" w:sz="0"/>
        </w:tblBorders>
        <w:tblLayout w:type="fixed"/>
      </w:tblPr>
      <w:tblGrid>
        <w:gridCol w:w="1100"/>
        <w:gridCol w:w="8646"/>
      </w:tblGrid>
      <w:tr>
        <w:trPr>
          <w:tblHeader/>
        </w:trPr>
        <w:tc>
          <w:tcPr>
            <w:tcW w:type="dxa" w:w="1100"/>
            <w:shd w:fill="1F3A5F"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Year</w:t>
            </w:r>
          </w:p>
        </w:tc>
        <w:tc>
          <w:tcPr>
            <w:tcW w:type="dxa" w:w="8646"/>
            <w:shd w:fill="1F3A5F"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Honour</w:t>
            </w:r>
          </w:p>
        </w:tc>
      </w:tr>
      <w:tr>
        <w:trPr>
          <w:cantSplit/>
        </w:trPr>
        <w:tc>
          <w:tcPr>
            <w:tcW w:type="dxa" w:w="1100"/>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2016</w:t>
            </w:r>
          </w:p>
        </w:tc>
        <w:tc>
          <w:tcPr>
            <w:tcW w:type="dxa" w:w="8646"/>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Saraswati Samman</w:t>
            </w:r>
            <w:r>
              <w:rPr>
                <w:rFonts w:ascii="Calibri" w:cs="Calibri" w:eastAsia="Calibri" w:hAnsi="Calibri"/>
                <w:sz w:val="21"/>
                <w:szCs w:val="21"/>
              </w:rPr>
              <w:t xml:space="preserve"> — highest academic award of the Government of Uttar Pradesh</w:t>
            </w:r>
          </w:p>
        </w:tc>
      </w:tr>
      <w:tr>
        <w:trPr>
          <w:cantSplit/>
        </w:trPr>
        <w:tc>
          <w:tcPr>
            <w:tcW w:type="dxa" w:w="1100"/>
            <w:shd w:fill="F7F9FC" w:color="auto" w:val="clear"/>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2012</w:t>
            </w:r>
          </w:p>
        </w:tc>
        <w:tc>
          <w:tcPr>
            <w:tcW w:type="dxa" w:w="8646"/>
            <w:shd w:fill="F7F9FC" w:color="auto" w:val="clear"/>
            <w:tcMar>
              <w:top w:type="dxa" w:w="70"/>
              <w:left w:type="dxa" w:w="110"/>
              <w:bottom w:type="dxa" w:w="70"/>
              <w:right w:type="dxa" w:w="110"/>
            </w:tcMar>
            <w:vAlign w:val="center"/>
          </w:tcPr>
          <w:p>
            <w:pPr>
              <w:spacing w:after="0"/>
            </w:pPr>
            <w:r>
              <w:rPr>
                <w:rFonts w:ascii="Calibri" w:cs="Calibri" w:eastAsia="Calibri" w:hAnsi="Calibri"/>
                <w:sz w:val="21"/>
                <w:szCs w:val="21"/>
              </w:rPr>
              <w:t xml:space="preserve">Elected </w:t>
            </w:r>
            <w:r>
              <w:rPr>
                <w:rFonts w:ascii="Calibri" w:cs="Calibri" w:eastAsia="Calibri" w:hAnsi="Calibri"/>
                <w:b/>
                <w:bCs/>
                <w:sz w:val="21"/>
                <w:szCs w:val="21"/>
              </w:rPr>
              <w:t xml:space="preserve">Fellow of the National Academy of Sciences, India (FNASc)</w:t>
            </w:r>
          </w:p>
        </w:tc>
      </w:tr>
      <w:tr>
        <w:trPr>
          <w:cantSplit/>
        </w:trPr>
        <w:tc>
          <w:tcPr>
            <w:tcW w:type="dxa" w:w="1100"/>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2012</w:t>
            </w:r>
          </w:p>
        </w:tc>
        <w:tc>
          <w:tcPr>
            <w:tcW w:type="dxa" w:w="8646"/>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Bharat Jyoti Award</w:t>
            </w:r>
          </w:p>
        </w:tc>
      </w:tr>
      <w:tr>
        <w:trPr>
          <w:cantSplit/>
        </w:trPr>
        <w:tc>
          <w:tcPr>
            <w:tcW w:type="dxa" w:w="1100"/>
            <w:shd w:fill="F7F9FC" w:color="auto" w:val="clear"/>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1983</w:t>
            </w:r>
          </w:p>
        </w:tc>
        <w:tc>
          <w:tcPr>
            <w:tcW w:type="dxa" w:w="8646"/>
            <w:shd w:fill="F7F9FC" w:color="auto" w:val="clear"/>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INSA Young Scientist Award</w:t>
            </w:r>
            <w:r>
              <w:rPr>
                <w:rFonts w:ascii="Calibri" w:cs="Calibri" w:eastAsia="Calibri" w:hAnsi="Calibri"/>
                <w:sz w:val="21"/>
                <w:szCs w:val="21"/>
              </w:rPr>
              <w:t xml:space="preserve">, Indian National Science Academy, New Delhi</w:t>
            </w:r>
          </w:p>
        </w:tc>
      </w:tr>
      <w:tr>
        <w:trPr>
          <w:cantSplit/>
        </w:trPr>
        <w:tc>
          <w:tcPr>
            <w:tcW w:type="dxa" w:w="1100"/>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1974</w:t>
            </w:r>
          </w:p>
        </w:tc>
        <w:tc>
          <w:tcPr>
            <w:tcW w:type="dxa" w:w="8646"/>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Gold Medal</w:t>
            </w:r>
            <w:r>
              <w:rPr>
                <w:rFonts w:ascii="Calibri" w:cs="Calibri" w:eastAsia="Calibri" w:hAnsi="Calibri"/>
                <w:sz w:val="21"/>
                <w:szCs w:val="21"/>
              </w:rPr>
              <w:t xml:space="preserve"> for standing first in order of merit, M.Sc. examination, University of Gorakhpur</w:t>
            </w:r>
          </w:p>
        </w:tc>
      </w:tr>
    </w:tbl>
    <w:p>
      <w:pPr>
        <w:keepNext/>
        <w:pBdr>
          <w:bottom w:val="single" w:color="A8843F" w:sz="8" w:space="3"/>
        </w:pBdr>
        <w:spacing w:after="120" w:before="300"/>
      </w:pPr>
      <w:r>
        <w:rPr>
          <w:rFonts w:ascii="Cambria" w:cs="Cambria" w:eastAsia="Cambria" w:hAnsi="Cambria"/>
          <w:b/>
          <w:bCs/>
          <w:color w:val="1F3A5F"/>
          <w:spacing w:val="30"/>
          <w:sz w:val="24"/>
          <w:szCs w:val="24"/>
        </w:rPr>
        <w:t xml:space="preserve">INTERNATIONAL FELLOWSHIPS &amp; RESEARCH VISITS</w:t>
      </w:r>
    </w:p>
    <w:tbl>
      <w:tblPr>
        <w:tblW w:type="dxa" w:w="9746"/>
        <w:tblBorders>
          <w:top w:val="none" w:color="FFFFFF" w:sz="0"/>
          <w:left w:val="none" w:color="FFFFFF" w:sz="0"/>
          <w:bottom w:val="single" w:color="D0D7E2" w:sz="4"/>
          <w:right w:val="none" w:color="FFFFFF" w:sz="0"/>
          <w:insideH w:val="single" w:color="D0D7E2" w:sz="4"/>
          <w:insideV w:val="none" w:color="FFFFFF" w:sz="0"/>
        </w:tblBorders>
        <w:tblLayout w:type="fixed"/>
      </w:tblPr>
      <w:tblGrid>
        <w:gridCol w:w="900"/>
        <w:gridCol w:w="4500"/>
        <w:gridCol w:w="4346"/>
      </w:tblGrid>
      <w:tr>
        <w:trPr>
          <w:tblHeader/>
        </w:trPr>
        <w:tc>
          <w:tcPr>
            <w:tcW w:type="dxa" w:w="900"/>
            <w:shd w:fill="1F3A5F"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Year</w:t>
            </w:r>
          </w:p>
        </w:tc>
        <w:tc>
          <w:tcPr>
            <w:tcW w:type="dxa" w:w="4500"/>
            <w:shd w:fill="1F3A5F"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Fellowship / Programme</w:t>
            </w:r>
          </w:p>
        </w:tc>
        <w:tc>
          <w:tcPr>
            <w:tcW w:type="dxa" w:w="4346"/>
            <w:shd w:fill="1F3A5F"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Host Institution</w:t>
            </w:r>
          </w:p>
        </w:tc>
      </w:tr>
      <w:tr>
        <w:trPr>
          <w:cantSplit/>
        </w:trPr>
        <w:tc>
          <w:tcPr>
            <w:tcW w:type="dxa" w:w="900"/>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2024</w:t>
            </w:r>
          </w:p>
        </w:tc>
        <w:tc>
          <w:tcPr>
            <w:tcW w:type="dxa" w:w="4500"/>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JSPS Long-term Invitation Fellowship</w:t>
            </w:r>
          </w:p>
        </w:tc>
        <w:tc>
          <w:tcPr>
            <w:tcW w:type="dxa" w:w="4346"/>
            <w:tcMar>
              <w:top w:type="dxa" w:w="70"/>
              <w:left w:type="dxa" w:w="110"/>
              <w:bottom w:type="dxa" w:w="70"/>
              <w:right w:type="dxa" w:w="110"/>
            </w:tcMar>
            <w:vAlign w:val="center"/>
          </w:tcPr>
          <w:p>
            <w:pPr>
              <w:spacing w:after="0"/>
            </w:pPr>
            <w:r>
              <w:rPr>
                <w:rFonts w:ascii="Calibri" w:cs="Calibri" w:eastAsia="Calibri" w:hAnsi="Calibri"/>
                <w:sz w:val="21"/>
                <w:szCs w:val="21"/>
              </w:rPr>
              <w:t xml:space="preserve">Kanazawa University, Japan</w:t>
            </w:r>
          </w:p>
        </w:tc>
      </w:tr>
      <w:tr>
        <w:trPr>
          <w:cantSplit/>
        </w:trPr>
        <w:tc>
          <w:tcPr>
            <w:tcW w:type="dxa" w:w="900"/>
            <w:shd w:fill="F7F9FC" w:color="auto" w:val="clear"/>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2023</w:t>
            </w:r>
          </w:p>
        </w:tc>
        <w:tc>
          <w:tcPr>
            <w:tcW w:type="dxa" w:w="4500"/>
            <w:shd w:fill="F7F9FC" w:color="auto" w:val="clear"/>
            <w:tcMar>
              <w:top w:type="dxa" w:w="70"/>
              <w:left w:type="dxa" w:w="110"/>
              <w:bottom w:type="dxa" w:w="70"/>
              <w:right w:type="dxa" w:w="110"/>
            </w:tcMar>
            <w:vAlign w:val="center"/>
          </w:tcPr>
          <w:p>
            <w:pPr>
              <w:spacing w:after="0"/>
            </w:pPr>
            <w:r>
              <w:rPr>
                <w:rFonts w:ascii="Calibri" w:cs="Calibri" w:eastAsia="Calibri" w:hAnsi="Calibri"/>
                <w:sz w:val="21"/>
                <w:szCs w:val="21"/>
              </w:rPr>
              <w:t xml:space="preserve">Invited research visit</w:t>
            </w:r>
          </w:p>
        </w:tc>
        <w:tc>
          <w:tcPr>
            <w:tcW w:type="dxa" w:w="4346"/>
            <w:shd w:fill="F7F9FC" w:color="auto" w:val="clear"/>
            <w:tcMar>
              <w:top w:type="dxa" w:w="70"/>
              <w:left w:type="dxa" w:w="110"/>
              <w:bottom w:type="dxa" w:w="70"/>
              <w:right w:type="dxa" w:w="110"/>
            </w:tcMar>
            <w:vAlign w:val="center"/>
          </w:tcPr>
          <w:p>
            <w:pPr>
              <w:spacing w:after="0"/>
            </w:pPr>
            <w:r>
              <w:rPr>
                <w:rFonts w:ascii="Calibri" w:cs="Calibri" w:eastAsia="Calibri" w:hAnsi="Calibri"/>
                <w:sz w:val="21"/>
                <w:szCs w:val="21"/>
              </w:rPr>
              <w:t xml:space="preserve">Kanazawa University, Japan</w:t>
            </w:r>
          </w:p>
        </w:tc>
      </w:tr>
      <w:tr>
        <w:trPr>
          <w:cantSplit/>
        </w:trPr>
        <w:tc>
          <w:tcPr>
            <w:tcW w:type="dxa" w:w="900"/>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2019</w:t>
            </w:r>
          </w:p>
        </w:tc>
        <w:tc>
          <w:tcPr>
            <w:tcW w:type="dxa" w:w="4500"/>
            <w:tcMar>
              <w:top w:type="dxa" w:w="70"/>
              <w:left w:type="dxa" w:w="110"/>
              <w:bottom w:type="dxa" w:w="70"/>
              <w:right w:type="dxa" w:w="110"/>
            </w:tcMar>
            <w:vAlign w:val="center"/>
          </w:tcPr>
          <w:p>
            <w:pPr>
              <w:spacing w:after="0"/>
            </w:pPr>
            <w:r>
              <w:rPr>
                <w:rFonts w:ascii="Calibri" w:cs="Calibri" w:eastAsia="Calibri" w:hAnsi="Calibri"/>
                <w:sz w:val="21"/>
                <w:szCs w:val="21"/>
              </w:rPr>
              <w:t xml:space="preserve">Invited visit for academic discussion and research</w:t>
            </w:r>
          </w:p>
        </w:tc>
        <w:tc>
          <w:tcPr>
            <w:tcW w:type="dxa" w:w="4346"/>
            <w:tcMar>
              <w:top w:type="dxa" w:w="70"/>
              <w:left w:type="dxa" w:w="110"/>
              <w:bottom w:type="dxa" w:w="70"/>
              <w:right w:type="dxa" w:w="110"/>
            </w:tcMar>
            <w:vAlign w:val="center"/>
          </w:tcPr>
          <w:p>
            <w:pPr>
              <w:spacing w:after="0"/>
            </w:pPr>
            <w:r>
              <w:rPr>
                <w:rFonts w:ascii="Calibri" w:cs="Calibri" w:eastAsia="Calibri" w:hAnsi="Calibri"/>
                <w:sz w:val="21"/>
                <w:szCs w:val="21"/>
              </w:rPr>
              <w:t xml:space="preserve">Kanazawa University, Japan</w:t>
            </w:r>
          </w:p>
        </w:tc>
      </w:tr>
      <w:tr>
        <w:trPr>
          <w:cantSplit/>
        </w:trPr>
        <w:tc>
          <w:tcPr>
            <w:tcW w:type="dxa" w:w="900"/>
            <w:shd w:fill="F7F9FC" w:color="auto" w:val="clear"/>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2017</w:t>
            </w:r>
          </w:p>
        </w:tc>
        <w:tc>
          <w:tcPr>
            <w:tcW w:type="dxa" w:w="4500"/>
            <w:shd w:fill="F7F9FC" w:color="auto" w:val="clear"/>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International Scientists Exchange Programme</w:t>
            </w:r>
            <w:r>
              <w:rPr>
                <w:rFonts w:ascii="Calibri" w:cs="Calibri" w:eastAsia="Calibri" w:hAnsi="Calibri"/>
                <w:sz w:val="21"/>
                <w:szCs w:val="21"/>
              </w:rPr>
              <w:t xml:space="preserve">, INSA – Czech Academy of Sciences</w:t>
            </w:r>
          </w:p>
        </w:tc>
        <w:tc>
          <w:tcPr>
            <w:tcW w:type="dxa" w:w="4346"/>
            <w:shd w:fill="F7F9FC" w:color="auto" w:val="clear"/>
            <w:tcMar>
              <w:top w:type="dxa" w:w="70"/>
              <w:left w:type="dxa" w:w="110"/>
              <w:bottom w:type="dxa" w:w="70"/>
              <w:right w:type="dxa" w:w="110"/>
            </w:tcMar>
            <w:vAlign w:val="center"/>
          </w:tcPr>
          <w:p>
            <w:pPr>
              <w:spacing w:after="0"/>
            </w:pPr>
            <w:r>
              <w:rPr>
                <w:rFonts w:ascii="Calibri" w:cs="Calibri" w:eastAsia="Calibri" w:hAnsi="Calibri"/>
                <w:sz w:val="21"/>
                <w:szCs w:val="21"/>
              </w:rPr>
              <w:t xml:space="preserve">Institute of Vertebrate Biology, Brno, Czech Republic</w:t>
            </w:r>
          </w:p>
          <w:p>
            <w:pPr>
              <w:spacing w:after="0"/>
            </w:pPr>
            <w:r>
              <w:rPr>
                <w:rFonts w:ascii="Calibri" w:cs="Calibri" w:eastAsia="Calibri" w:hAnsi="Calibri"/>
                <w:i/>
                <w:iCs/>
                <w:sz w:val="21"/>
                <w:szCs w:val="21"/>
              </w:rPr>
              <w:t xml:space="preserve">with Prof. Lumír Gvoždík</w:t>
            </w:r>
          </w:p>
        </w:tc>
      </w:tr>
      <w:tr>
        <w:trPr>
          <w:cantSplit/>
        </w:trPr>
        <w:tc>
          <w:tcPr>
            <w:tcW w:type="dxa" w:w="900"/>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2013</w:t>
            </w:r>
          </w:p>
        </w:tc>
        <w:tc>
          <w:tcPr>
            <w:tcW w:type="dxa" w:w="4500"/>
            <w:tcMar>
              <w:top w:type="dxa" w:w="70"/>
              <w:left w:type="dxa" w:w="110"/>
              <w:bottom w:type="dxa" w:w="70"/>
              <w:right w:type="dxa" w:w="110"/>
            </w:tcMar>
            <w:vAlign w:val="center"/>
          </w:tcPr>
          <w:p>
            <w:pPr>
              <w:spacing w:after="0"/>
            </w:pPr>
            <w:r>
              <w:rPr>
                <w:rFonts w:ascii="Calibri" w:cs="Calibri" w:eastAsia="Calibri" w:hAnsi="Calibri"/>
                <w:sz w:val="21"/>
                <w:szCs w:val="21"/>
              </w:rPr>
              <w:t xml:space="preserve">Invited visit for collaborative fish experiments</w:t>
            </w:r>
          </w:p>
        </w:tc>
        <w:tc>
          <w:tcPr>
            <w:tcW w:type="dxa" w:w="4346"/>
            <w:tcMar>
              <w:top w:type="dxa" w:w="70"/>
              <w:left w:type="dxa" w:w="110"/>
              <w:bottom w:type="dxa" w:w="70"/>
              <w:right w:type="dxa" w:w="110"/>
            </w:tcMar>
            <w:vAlign w:val="center"/>
          </w:tcPr>
          <w:p>
            <w:pPr>
              <w:spacing w:after="0"/>
            </w:pPr>
            <w:r>
              <w:rPr>
                <w:rFonts w:ascii="Calibri" w:cs="Calibri" w:eastAsia="Calibri" w:hAnsi="Calibri"/>
                <w:sz w:val="21"/>
                <w:szCs w:val="21"/>
              </w:rPr>
              <w:t xml:space="preserve">Noto Marine Laboratory, Kanazawa University, Japan</w:t>
            </w:r>
          </w:p>
          <w:p>
            <w:pPr>
              <w:spacing w:after="0"/>
            </w:pPr>
            <w:r>
              <w:rPr>
                <w:rFonts w:ascii="Calibri" w:cs="Calibri" w:eastAsia="Calibri" w:hAnsi="Calibri"/>
                <w:i/>
                <w:iCs/>
                <w:sz w:val="21"/>
                <w:szCs w:val="21"/>
              </w:rPr>
              <w:t xml:space="preserve">with Prof. Nobuo Suzuki</w:t>
            </w:r>
          </w:p>
        </w:tc>
      </w:tr>
      <w:tr>
        <w:trPr>
          <w:cantSplit/>
        </w:trPr>
        <w:tc>
          <w:tcPr>
            <w:tcW w:type="dxa" w:w="900"/>
            <w:shd w:fill="F7F9FC" w:color="auto" w:val="clear"/>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1999</w:t>
            </w:r>
          </w:p>
        </w:tc>
        <w:tc>
          <w:tcPr>
            <w:tcW w:type="dxa" w:w="4500"/>
            <w:shd w:fill="F7F9FC" w:color="auto" w:val="clear"/>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International Scientists Exchange Programme</w:t>
            </w:r>
            <w:r>
              <w:rPr>
                <w:rFonts w:ascii="Calibri" w:cs="Calibri" w:eastAsia="Calibri" w:hAnsi="Calibri"/>
                <w:sz w:val="21"/>
                <w:szCs w:val="21"/>
              </w:rPr>
              <w:t xml:space="preserve">, INSA – Royal Netherlands Academy</w:t>
            </w:r>
          </w:p>
        </w:tc>
        <w:tc>
          <w:tcPr>
            <w:tcW w:type="dxa" w:w="4346"/>
            <w:shd w:fill="F7F9FC" w:color="auto" w:val="clear"/>
            <w:tcMar>
              <w:top w:type="dxa" w:w="70"/>
              <w:left w:type="dxa" w:w="110"/>
              <w:bottom w:type="dxa" w:w="70"/>
              <w:right w:type="dxa" w:w="110"/>
            </w:tcMar>
            <w:vAlign w:val="center"/>
          </w:tcPr>
          <w:p>
            <w:pPr>
              <w:spacing w:after="0"/>
            </w:pPr>
            <w:r>
              <w:rPr>
                <w:rFonts w:ascii="Calibri" w:cs="Calibri" w:eastAsia="Calibri" w:hAnsi="Calibri"/>
                <w:sz w:val="21"/>
                <w:szCs w:val="21"/>
              </w:rPr>
              <w:t xml:space="preserve">Dept. of Animal Physiology, University of Nijmegen, The Netherlands</w:t>
            </w:r>
          </w:p>
          <w:p>
            <w:pPr>
              <w:spacing w:after="0"/>
            </w:pPr>
            <w:r>
              <w:rPr>
                <w:rFonts w:ascii="Calibri" w:cs="Calibri" w:eastAsia="Calibri" w:hAnsi="Calibri"/>
                <w:i/>
                <w:iCs/>
                <w:sz w:val="21"/>
                <w:szCs w:val="21"/>
              </w:rPr>
              <w:t xml:space="preserve">with Prof. S.E. Wendelaar Bonga</w:t>
            </w:r>
          </w:p>
        </w:tc>
      </w:tr>
      <w:tr>
        <w:trPr>
          <w:cantSplit/>
        </w:trPr>
        <w:tc>
          <w:tcPr>
            <w:tcW w:type="dxa" w:w="900"/>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1997</w:t>
            </w:r>
          </w:p>
        </w:tc>
        <w:tc>
          <w:tcPr>
            <w:tcW w:type="dxa" w:w="4500"/>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JSPS Invitation Fellowship</w:t>
            </w:r>
            <w:r>
              <w:rPr>
                <w:rFonts w:ascii="Calibri" w:cs="Calibri" w:eastAsia="Calibri" w:hAnsi="Calibri"/>
                <w:sz w:val="21"/>
                <w:szCs w:val="21"/>
              </w:rPr>
              <w:t xml:space="preserve">, Japan Society for the Promotion of Science</w:t>
            </w:r>
          </w:p>
        </w:tc>
        <w:tc>
          <w:tcPr>
            <w:tcW w:type="dxa" w:w="4346"/>
            <w:tcMar>
              <w:top w:type="dxa" w:w="70"/>
              <w:left w:type="dxa" w:w="110"/>
              <w:bottom w:type="dxa" w:w="70"/>
              <w:right w:type="dxa" w:w="110"/>
            </w:tcMar>
            <w:vAlign w:val="center"/>
          </w:tcPr>
          <w:p>
            <w:pPr>
              <w:spacing w:after="0"/>
            </w:pPr>
            <w:r>
              <w:rPr>
                <w:rFonts w:ascii="Calibri" w:cs="Calibri" w:eastAsia="Calibri" w:hAnsi="Calibri"/>
                <w:sz w:val="21"/>
                <w:szCs w:val="21"/>
              </w:rPr>
              <w:t xml:space="preserve">Noto Marine Laboratory, Kanazawa University, Japan</w:t>
            </w:r>
          </w:p>
          <w:p>
            <w:pPr>
              <w:spacing w:after="0"/>
            </w:pPr>
            <w:r>
              <w:rPr>
                <w:rFonts w:ascii="Calibri" w:cs="Calibri" w:eastAsia="Calibri" w:hAnsi="Calibri"/>
                <w:i/>
                <w:iCs/>
                <w:sz w:val="21"/>
                <w:szCs w:val="21"/>
              </w:rPr>
              <w:t xml:space="preserve">with Prof. Y. Sasayama</w:t>
            </w:r>
          </w:p>
        </w:tc>
      </w:tr>
      <w:tr>
        <w:trPr>
          <w:cantSplit/>
        </w:trPr>
        <w:tc>
          <w:tcPr>
            <w:tcW w:type="dxa" w:w="900"/>
            <w:shd w:fill="F7F9FC" w:color="auto" w:val="clear"/>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1995</w:t>
            </w:r>
          </w:p>
        </w:tc>
        <w:tc>
          <w:tcPr>
            <w:tcW w:type="dxa" w:w="4500"/>
            <w:shd w:fill="F7F9FC" w:color="auto" w:val="clear"/>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Marie Curie Fellowship</w:t>
            </w:r>
            <w:r>
              <w:rPr>
                <w:rFonts w:ascii="Calibri" w:cs="Calibri" w:eastAsia="Calibri" w:hAnsi="Calibri"/>
                <w:sz w:val="21"/>
                <w:szCs w:val="21"/>
              </w:rPr>
              <w:t xml:space="preserve">, Commission of the European Communities</w:t>
            </w:r>
          </w:p>
        </w:tc>
        <w:tc>
          <w:tcPr>
            <w:tcW w:type="dxa" w:w="4346"/>
            <w:shd w:fill="F7F9FC" w:color="auto" w:val="clear"/>
            <w:tcMar>
              <w:top w:type="dxa" w:w="70"/>
              <w:left w:type="dxa" w:w="110"/>
              <w:bottom w:type="dxa" w:w="70"/>
              <w:right w:type="dxa" w:w="110"/>
            </w:tcMar>
            <w:vAlign w:val="center"/>
          </w:tcPr>
          <w:p>
            <w:pPr>
              <w:spacing w:after="0"/>
            </w:pPr>
            <w:r>
              <w:rPr>
                <w:rFonts w:ascii="Calibri" w:cs="Calibri" w:eastAsia="Calibri" w:hAnsi="Calibri"/>
                <w:sz w:val="21"/>
                <w:szCs w:val="21"/>
              </w:rPr>
              <w:t xml:space="preserve">Dept. of Animal Physiology, University of Nijmegen, The Netherlands</w:t>
            </w:r>
          </w:p>
          <w:p>
            <w:pPr>
              <w:spacing w:after="0"/>
            </w:pPr>
            <w:r>
              <w:rPr>
                <w:rFonts w:ascii="Calibri" w:cs="Calibri" w:eastAsia="Calibri" w:hAnsi="Calibri"/>
                <w:i/>
                <w:iCs/>
                <w:sz w:val="21"/>
                <w:szCs w:val="21"/>
              </w:rPr>
              <w:t xml:space="preserve">with Prof. S.E. Wendelaar Bonga</w:t>
            </w:r>
          </w:p>
        </w:tc>
      </w:tr>
      <w:tr>
        <w:trPr>
          <w:cantSplit/>
        </w:trPr>
        <w:tc>
          <w:tcPr>
            <w:tcW w:type="dxa" w:w="900"/>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1993</w:t>
            </w:r>
          </w:p>
        </w:tc>
        <w:tc>
          <w:tcPr>
            <w:tcW w:type="dxa" w:w="4500"/>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International Scientists Exchange Programme</w:t>
            </w:r>
            <w:r>
              <w:rPr>
                <w:rFonts w:ascii="Calibri" w:cs="Calibri" w:eastAsia="Calibri" w:hAnsi="Calibri"/>
                <w:sz w:val="21"/>
                <w:szCs w:val="21"/>
              </w:rPr>
              <w:t xml:space="preserve">, INSA – JSPS</w:t>
            </w:r>
          </w:p>
        </w:tc>
        <w:tc>
          <w:tcPr>
            <w:tcW w:type="dxa" w:w="4346"/>
            <w:tcMar>
              <w:top w:type="dxa" w:w="70"/>
              <w:left w:type="dxa" w:w="110"/>
              <w:bottom w:type="dxa" w:w="70"/>
              <w:right w:type="dxa" w:w="110"/>
            </w:tcMar>
            <w:vAlign w:val="center"/>
          </w:tcPr>
          <w:p>
            <w:pPr>
              <w:spacing w:after="0"/>
            </w:pPr>
            <w:r>
              <w:rPr>
                <w:rFonts w:ascii="Calibri" w:cs="Calibri" w:eastAsia="Calibri" w:hAnsi="Calibri"/>
                <w:sz w:val="21"/>
                <w:szCs w:val="21"/>
              </w:rPr>
              <w:t xml:space="preserve">Dept. of Biology, Toyama University, Japan</w:t>
            </w:r>
          </w:p>
          <w:p>
            <w:pPr>
              <w:spacing w:after="0"/>
            </w:pPr>
            <w:r>
              <w:rPr>
                <w:rFonts w:ascii="Calibri" w:cs="Calibri" w:eastAsia="Calibri" w:hAnsi="Calibri"/>
                <w:i/>
                <w:iCs/>
                <w:sz w:val="21"/>
                <w:szCs w:val="21"/>
              </w:rPr>
              <w:t xml:space="preserve">with Prof. Yuichi Sasayama</w:t>
            </w:r>
          </w:p>
        </w:tc>
      </w:tr>
      <w:tr>
        <w:trPr>
          <w:cantSplit/>
        </w:trPr>
        <w:tc>
          <w:tcPr>
            <w:tcW w:type="dxa" w:w="900"/>
            <w:shd w:fill="F7F9FC" w:color="auto" w:val="clear"/>
            <w:tcMar>
              <w:top w:type="dxa" w:w="70"/>
              <w:left w:type="dxa" w:w="110"/>
              <w:bottom w:type="dxa" w:w="70"/>
              <w:right w:type="dxa" w:w="110"/>
            </w:tcMar>
            <w:vAlign w:val="center"/>
          </w:tcPr>
          <w:p>
            <w:pPr>
              <w:spacing w:after="0"/>
            </w:pPr>
            <w:r>
              <w:rPr>
                <w:rFonts w:ascii="Calibri" w:cs="Calibri" w:eastAsia="Calibri" w:hAnsi="Calibri"/>
                <w:b/>
                <w:bCs/>
                <w:color w:val="1F3A5F"/>
                <w:sz w:val="21"/>
                <w:szCs w:val="21"/>
              </w:rPr>
              <w:t xml:space="preserve">1989</w:t>
            </w:r>
          </w:p>
        </w:tc>
        <w:tc>
          <w:tcPr>
            <w:tcW w:type="dxa" w:w="4500"/>
            <w:shd w:fill="F7F9FC" w:color="auto" w:val="clear"/>
            <w:tcMar>
              <w:top w:type="dxa" w:w="70"/>
              <w:left w:type="dxa" w:w="110"/>
              <w:bottom w:type="dxa" w:w="70"/>
              <w:right w:type="dxa" w:w="110"/>
            </w:tcMar>
            <w:vAlign w:val="center"/>
          </w:tcPr>
          <w:p>
            <w:pPr>
              <w:spacing w:after="0"/>
            </w:pPr>
            <w:r>
              <w:rPr>
                <w:rFonts w:ascii="Calibri" w:cs="Calibri" w:eastAsia="Calibri" w:hAnsi="Calibri"/>
                <w:b/>
                <w:bCs/>
                <w:sz w:val="21"/>
                <w:szCs w:val="21"/>
              </w:rPr>
              <w:t xml:space="preserve">International Scientists Exchange Programme</w:t>
            </w:r>
            <w:r>
              <w:rPr>
                <w:rFonts w:ascii="Calibri" w:cs="Calibri" w:eastAsia="Calibri" w:hAnsi="Calibri"/>
                <w:sz w:val="21"/>
                <w:szCs w:val="21"/>
              </w:rPr>
              <w:t xml:space="preserve">, INSA – DFG</w:t>
            </w:r>
          </w:p>
        </w:tc>
        <w:tc>
          <w:tcPr>
            <w:tcW w:type="dxa" w:w="4346"/>
            <w:shd w:fill="F7F9FC" w:color="auto" w:val="clear"/>
            <w:tcMar>
              <w:top w:type="dxa" w:w="70"/>
              <w:left w:type="dxa" w:w="110"/>
              <w:bottom w:type="dxa" w:w="70"/>
              <w:right w:type="dxa" w:w="110"/>
            </w:tcMar>
            <w:vAlign w:val="center"/>
          </w:tcPr>
          <w:p>
            <w:pPr>
              <w:spacing w:after="0"/>
            </w:pPr>
            <w:r>
              <w:rPr>
                <w:rFonts w:ascii="Calibri" w:cs="Calibri" w:eastAsia="Calibri" w:hAnsi="Calibri"/>
                <w:sz w:val="21"/>
                <w:szCs w:val="21"/>
              </w:rPr>
              <w:t xml:space="preserve">Dept. of Internal Medicine I, University of Heidelberg, Germany</w:t>
            </w:r>
          </w:p>
          <w:p>
            <w:pPr>
              <w:spacing w:after="0"/>
            </w:pPr>
            <w:r>
              <w:rPr>
                <w:rFonts w:ascii="Calibri" w:cs="Calibri" w:eastAsia="Calibri" w:hAnsi="Calibri"/>
                <w:i/>
                <w:iCs/>
                <w:sz w:val="21"/>
                <w:szCs w:val="21"/>
              </w:rPr>
              <w:t xml:space="preserve">with Prof. R. Ziegler</w:t>
            </w:r>
          </w:p>
        </w:tc>
      </w:tr>
    </w:tbl>
    <w:p>
      <w:pPr>
        <w:keepNext/>
        <w:pBdr>
          <w:bottom w:val="single" w:color="A8843F" w:sz="8" w:space="3"/>
        </w:pBdr>
        <w:spacing w:after="120" w:before="300"/>
      </w:pPr>
      <w:r>
        <w:rPr>
          <w:rFonts w:ascii="Cambria" w:cs="Cambria" w:eastAsia="Cambria" w:hAnsi="Cambria"/>
          <w:b/>
          <w:bCs/>
          <w:color w:val="1F3A5F"/>
          <w:spacing w:val="30"/>
          <w:sz w:val="24"/>
          <w:szCs w:val="24"/>
        </w:rPr>
        <w:t xml:space="preserve">PUBLICATIONS</w:t>
      </w:r>
    </w:p>
    <w:p>
      <w:pPr>
        <w:pStyle w:val="ListParagraph"/>
        <w:numPr>
          <w:ilvl w:val="0"/>
          <w:numId w:val="2"/>
        </w:numPr>
        <w:spacing w:after="70" w:line="264"/>
        <w:jc w:val="left"/>
      </w:pPr>
      <w:r>
        <w:rPr>
          <w:rFonts w:ascii="Calibri" w:cs="Calibri" w:eastAsia="Calibri" w:hAnsi="Calibri"/>
          <w:b/>
          <w:bCs/>
          <w:sz w:val="21"/>
          <w:szCs w:val="21"/>
        </w:rPr>
        <w:t xml:space="preserve">237 research papers</w:t>
      </w:r>
      <w:r>
        <w:rPr>
          <w:rFonts w:ascii="Calibri" w:cs="Calibri" w:eastAsia="Calibri" w:hAnsi="Calibri"/>
          <w:sz w:val="21"/>
          <w:szCs w:val="21"/>
        </w:rPr>
        <w:t xml:space="preserve"> in internationally reputed journals, including </w:t>
      </w:r>
      <w:r>
        <w:rPr>
          <w:rFonts w:ascii="Calibri" w:cs="Calibri" w:eastAsia="Calibri" w:hAnsi="Calibri"/>
          <w:i/>
          <w:iCs/>
          <w:sz w:val="21"/>
          <w:szCs w:val="21"/>
        </w:rPr>
        <w:t xml:space="preserve">Cellular and Molecular Biology, Experientia, Comparative Biochemistry and Physiology, General and Comparative Endocrinology, Journal of Experimental Zoology, Canadian Journal of Zoology, Acta Anatomica, Journal de Physiologie, Journal of Fish Biology, Zoological Science, Biological Structures and Morphogenesis, Zeitschrift für Mikroskopisch-Anatomische Forschung, Archives d’Anatomie Microscopique et de Morphologie Expérimentale, European Archives of Biology, Microscopy Research and Technique, Acta Zoologica, Fisheries Science, Life Sciences</w:t>
      </w:r>
      <w:r>
        <w:rPr>
          <w:rFonts w:ascii="Calibri" w:cs="Calibri" w:eastAsia="Calibri" w:hAnsi="Calibri"/>
          <w:sz w:val="21"/>
          <w:szCs w:val="21"/>
        </w:rPr>
        <w:t xml:space="preserve"> and </w:t>
      </w:r>
      <w:r>
        <w:rPr>
          <w:rFonts w:ascii="Calibri" w:cs="Calibri" w:eastAsia="Calibri" w:hAnsi="Calibri"/>
          <w:i/>
          <w:iCs/>
          <w:sz w:val="21"/>
          <w:szCs w:val="21"/>
        </w:rPr>
        <w:t xml:space="preserve">Scientific Reports (Nature)</w:t>
      </w:r>
      <w:r>
        <w:rPr>
          <w:rFonts w:ascii="Calibri" w:cs="Calibri" w:eastAsia="Calibri" w:hAnsi="Calibri"/>
          <w:sz w:val="21"/>
          <w:szCs w:val="21"/>
        </w:rPr>
        <w:t xml:space="preserve">.</w:t>
      </w:r>
    </w:p>
    <w:p>
      <w:pPr>
        <w:pStyle w:val="ListParagraph"/>
        <w:numPr>
          <w:ilvl w:val="0"/>
          <w:numId w:val="2"/>
        </w:numPr>
        <w:spacing w:after="70" w:line="264"/>
        <w:jc w:val="left"/>
      </w:pPr>
      <w:r>
        <w:rPr>
          <w:rFonts w:ascii="Calibri" w:cs="Calibri" w:eastAsia="Calibri" w:hAnsi="Calibri"/>
          <w:b/>
          <w:bCs/>
          <w:sz w:val="21"/>
          <w:szCs w:val="21"/>
        </w:rPr>
        <w:t xml:space="preserve">5 review articles</w:t>
      </w:r>
      <w:r>
        <w:rPr>
          <w:rFonts w:ascii="Calibri" w:cs="Calibri" w:eastAsia="Calibri" w:hAnsi="Calibri"/>
          <w:sz w:val="21"/>
          <w:szCs w:val="21"/>
        </w:rPr>
        <w:t xml:space="preserve"> in comparative vertebrate endocrinology.</w:t>
      </w:r>
    </w:p>
    <w:p>
      <w:pPr>
        <w:pStyle w:val="ListParagraph"/>
        <w:numPr>
          <w:ilvl w:val="0"/>
          <w:numId w:val="2"/>
        </w:numPr>
        <w:spacing w:after="70" w:line="264"/>
        <w:jc w:val="left"/>
      </w:pPr>
      <w:r>
        <w:rPr>
          <w:rFonts w:ascii="Calibri" w:cs="Calibri" w:eastAsia="Calibri" w:hAnsi="Calibri"/>
          <w:b/>
          <w:bCs/>
          <w:sz w:val="21"/>
          <w:szCs w:val="21"/>
        </w:rPr>
        <w:t xml:space="preserve">Book chapters</w:t>
      </w:r>
      <w:r>
        <w:rPr>
          <w:rFonts w:ascii="Calibri" w:cs="Calibri" w:eastAsia="Calibri" w:hAnsi="Calibri"/>
          <w:sz w:val="21"/>
          <w:szCs w:val="21"/>
        </w:rPr>
        <w:t xml:space="preserve"> in </w:t>
      </w:r>
      <w:r>
        <w:rPr>
          <w:rFonts w:ascii="Calibri" w:cs="Calibri" w:eastAsia="Calibri" w:hAnsi="Calibri"/>
          <w:i/>
          <w:iCs/>
          <w:sz w:val="21"/>
          <w:szCs w:val="21"/>
        </w:rPr>
        <w:t xml:space="preserve">Experimental Endocrinology and Reproductive Biology</w:t>
      </w:r>
      <w:r>
        <w:rPr>
          <w:rFonts w:ascii="Calibri" w:cs="Calibri" w:eastAsia="Calibri" w:hAnsi="Calibri"/>
          <w:sz w:val="21"/>
          <w:szCs w:val="21"/>
        </w:rPr>
        <w:t xml:space="preserve"> (Science Publishers, Enfield, NH, USA, 2008) and </w:t>
      </w:r>
      <w:r>
        <w:rPr>
          <w:rFonts w:ascii="Calibri" w:cs="Calibri" w:eastAsia="Calibri" w:hAnsi="Calibri"/>
          <w:i/>
          <w:iCs/>
          <w:sz w:val="21"/>
          <w:szCs w:val="21"/>
        </w:rPr>
        <w:t xml:space="preserve">Emerging Trends in Zoology</w:t>
      </w:r>
      <w:r>
        <w:rPr>
          <w:rFonts w:ascii="Calibri" w:cs="Calibri" w:eastAsia="Calibri" w:hAnsi="Calibri"/>
          <w:sz w:val="21"/>
          <w:szCs w:val="21"/>
        </w:rPr>
        <w:t xml:space="preserve"> (Narendra Publishing House).</w:t>
      </w:r>
    </w:p>
    <w:p>
      <w:pPr>
        <w:keepNext/>
        <w:pBdr>
          <w:bottom w:val="single" w:color="A8843F" w:sz="8" w:space="3"/>
        </w:pBdr>
        <w:spacing w:after="120" w:before="300"/>
      </w:pPr>
      <w:r>
        <w:rPr>
          <w:rFonts w:ascii="Cambria" w:cs="Cambria" w:eastAsia="Cambria" w:hAnsi="Cambria"/>
          <w:b/>
          <w:bCs/>
          <w:color w:val="1F3A5F"/>
          <w:spacing w:val="30"/>
          <w:sz w:val="24"/>
          <w:szCs w:val="24"/>
        </w:rPr>
        <w:t xml:space="preserve">RESEARCH SUPERVISION</w:t>
      </w:r>
    </w:p>
    <w:p>
      <w:pPr>
        <w:pStyle w:val="ListParagraph"/>
        <w:numPr>
          <w:ilvl w:val="0"/>
          <w:numId w:val="2"/>
        </w:numPr>
        <w:spacing w:after="70" w:line="264"/>
        <w:jc w:val="left"/>
      </w:pPr>
      <w:r>
        <w:rPr>
          <w:rFonts w:ascii="Calibri" w:cs="Calibri" w:eastAsia="Calibri" w:hAnsi="Calibri"/>
          <w:b/>
          <w:bCs/>
          <w:sz w:val="21"/>
          <w:szCs w:val="21"/>
        </w:rPr>
        <w:t xml:space="preserve">11 students</w:t>
      </w:r>
      <w:r>
        <w:rPr>
          <w:rFonts w:ascii="Calibri" w:cs="Calibri" w:eastAsia="Calibri" w:hAnsi="Calibri"/>
          <w:sz w:val="21"/>
          <w:szCs w:val="21"/>
        </w:rPr>
        <w:t xml:space="preserve"> have been awarded the Ph.D. degree under his supervision.</w:t>
      </w:r>
    </w:p>
    <w:p>
      <w:pPr>
        <w:keepNext/>
        <w:pBdr>
          <w:bottom w:val="single" w:color="A8843F" w:sz="8" w:space="3"/>
        </w:pBdr>
        <w:spacing w:after="120" w:before="300"/>
      </w:pPr>
      <w:r>
        <w:rPr>
          <w:rFonts w:ascii="Cambria" w:cs="Cambria" w:eastAsia="Cambria" w:hAnsi="Cambria"/>
          <w:b/>
          <w:bCs/>
          <w:color w:val="1F3A5F"/>
          <w:spacing w:val="30"/>
          <w:sz w:val="24"/>
          <w:szCs w:val="24"/>
        </w:rPr>
        <w:t xml:space="preserve">EDITORIAL &amp; ADVISORY BOARDS</w:t>
      </w:r>
    </w:p>
    <w:p>
      <w:pPr>
        <w:spacing w:after="100"/>
      </w:pPr>
      <w:r>
        <w:rPr>
          <w:rFonts w:ascii="Calibri" w:cs="Calibri" w:eastAsia="Calibri" w:hAnsi="Calibri"/>
          <w:i/>
          <w:iCs/>
          <w:color w:val="595959"/>
          <w:sz w:val="20"/>
          <w:szCs w:val="20"/>
        </w:rPr>
        <w:t xml:space="preserve">Member (present or past) of the editorial or advisory boards of:</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48"/>
        <w:gridCol w:w="3248"/>
        <w:gridCol w:w="3250"/>
      </w:tblGrid>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Scientific Reports (Nature group)</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Cameroon J. Experimental Biology</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Current Research J. Biological Sciences</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Scientific Reviews (Nature group)</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Asian J. Experimental Sciences (India)</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International J. Animal &amp; Veterinary Advances</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Experimental Zoology (USA)</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International J. Biological &amp; Chemical Sciences</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International J. Life Science and Pharma</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National Academy Science Letters</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 Pharmacology and Toxicology</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Biotechnology</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International Journal of Endocrinology</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World Journal of Zoology</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Egyptian Journal of Aquatic Research</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 Egyptian Society of Endocrinology, Metabolism &amp; Diabetes</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International J. Medicine &amp; Medical Sciences</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 Research in Pharmacy &amp; Biological Sciences</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Endocrinology and Diabetes Mellitus</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Biharean Biologist (Romania)</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American J. Agricultural &amp; Biological Sciences</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Animal Biology Journal (USA)</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South-western J. Horticulture, Biology &amp; Environment</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Applied Cell Biology</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Folia Zoologica (Czech Republic)</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Biological Sciences</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American J. Zoological Research</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International J. Zoological Research</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International Journal of Zoology (USA)</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Fisheries &amp; Aquaculture</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Zoologica Poloniae (Poland)</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Pesquisa Veterinária Brasileira (Brazil)</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Hormonal Studies (UK)</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 Fisheries and Aquatic Science</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Italian J. Anatomy and Embryology (Italy)</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International J. Pharma and Drug Analysis</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North-Western Journal of Zoology</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Egyptian Journal of Histology (Egypt)</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Fisheries and Aquaculture Journal (USA)</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Asian J. Animal Sciences</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British J. Pharmacology and Toxicology</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Cell and Animal Biology</w:t>
            </w:r>
          </w:p>
        </w:tc>
      </w:tr>
    </w:tbl>
    <w:p>
      <w:pPr>
        <w:keepNext/>
        <w:spacing w:after="80" w:before="180"/>
      </w:pPr>
      <w:r>
        <w:rPr>
          <w:rFonts w:ascii="Cambria" w:cs="Cambria" w:eastAsia="Cambria" w:hAnsi="Cambria"/>
          <w:b/>
          <w:bCs/>
          <w:color w:val="1F3A5F"/>
          <w:sz w:val="22"/>
          <w:szCs w:val="22"/>
        </w:rPr>
        <w:t xml:space="preserve">Reviewer for International Journals</w:t>
      </w:r>
    </w:p>
    <w:p>
      <w:pPr>
        <w:spacing w:after="100"/>
      </w:pPr>
      <w:r>
        <w:rPr>
          <w:rFonts w:ascii="Calibri" w:cs="Calibri" w:eastAsia="Calibri" w:hAnsi="Calibri"/>
          <w:i/>
          <w:iCs/>
          <w:color w:val="595959"/>
          <w:sz w:val="20"/>
          <w:szCs w:val="20"/>
        </w:rPr>
        <w:t xml:space="preserve">In addition to the journals above, reviews manuscripts for: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48"/>
        <w:gridCol w:w="3248"/>
        <w:gridCol w:w="3250"/>
      </w:tblGrid>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Comparative Biochemistry and Physiology</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Animal Science</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Amphibia-Reptilia</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General and Comparative Endocrinology</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Environmental Biology of Fishes</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Canadian Journal of Animal Science</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Physiology</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Canadian Journal of Zoology</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Egyptian J. Aquatic Research</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Fish Biology</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Acta Biologica Hungarica</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Biology</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Experimental Biology</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Biological Bulletin</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Physiological and Biochemical Zoology</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General Physiology</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Israel J. Ecology &amp; Evolution</w:t>
            </w:r>
          </w:p>
        </w:tc>
        <w:tc>
          <w:tcPr>
            <w:tcW w:type="dxa" w:w="3250"/>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Hormone and Metabolic Research</w:t>
            </w:r>
          </w:p>
        </w:tc>
      </w:tr>
      <w:tr>
        <w:trPr>
          <w:cantSplit/>
        </w:trPr>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Brazilian Archives of Biology &amp; Technology</w:t>
            </w:r>
          </w:p>
        </w:tc>
        <w:tc>
          <w:tcPr>
            <w:tcW w:type="dxa" w:w="3248"/>
            <w:tcMar>
              <w:top w:type="dxa" w:w="25"/>
              <w:left w:type="dxa" w:w="60"/>
              <w:bottom w:type="dxa" w:w="25"/>
              <w:right w:type="dxa" w:w="100"/>
            </w:tcMar>
            <w:vAlign w:val="top"/>
          </w:tcPr>
          <w:p>
            <w:pPr>
              <w:spacing w:after="0"/>
              <w:ind w:left="180" w:hanging="180"/>
            </w:pPr>
            <w:r>
              <w:rPr>
                <w:rFonts w:ascii="Calibri" w:cs="Calibri" w:eastAsia="Calibri" w:hAnsi="Calibri"/>
                <w:color w:val="A8843F"/>
                <w:sz w:val="16"/>
                <w:szCs w:val="16"/>
              </w:rPr>
              <w:t xml:space="preserve">▪ </w:t>
            </w:r>
            <w:r>
              <w:rPr>
                <w:rFonts w:ascii="Calibri" w:cs="Calibri" w:eastAsia="Calibri" w:hAnsi="Calibri"/>
                <w:sz w:val="19"/>
                <w:szCs w:val="19"/>
              </w:rPr>
              <w:t xml:space="preserve">Journal of Herpetology</w:t>
            </w:r>
          </w:p>
        </w:tc>
        <w:tc>
          <w:tcPr>
            <w:tcW w:type="dxa" w:w="3250"/>
            <w:tcMar>
              <w:top w:type="dxa" w:w="25"/>
              <w:left w:type="dxa" w:w="60"/>
              <w:bottom w:type="dxa" w:w="25"/>
              <w:right w:type="dxa" w:w="100"/>
            </w:tcMar>
            <w:vAlign w:val="top"/>
          </w:tcPr>
          <w:p>
            <w:pPr>
              <w:spacing w:after="0"/>
              <w:ind w:left="180" w:hanging="180"/>
            </w:pPr>
          </w:p>
        </w:tc>
      </w:tr>
    </w:tbl>
    <w:p>
      <w:pPr>
        <w:keepNext/>
        <w:pBdr>
          <w:bottom w:val="single" w:color="A8843F" w:sz="8" w:space="3"/>
        </w:pBdr>
        <w:spacing w:after="120" w:before="300"/>
      </w:pPr>
      <w:r>
        <w:rPr>
          <w:rFonts w:ascii="Cambria" w:cs="Cambria" w:eastAsia="Cambria" w:hAnsi="Cambria"/>
          <w:b/>
          <w:bCs/>
          <w:color w:val="1F3A5F"/>
          <w:spacing w:val="30"/>
          <w:sz w:val="24"/>
          <w:szCs w:val="24"/>
        </w:rPr>
        <w:t xml:space="preserve">PROFESSIONAL MEMBERSHIPS</w:t>
      </w:r>
    </w:p>
    <w:p>
      <w:pPr>
        <w:pStyle w:val="ListParagraph"/>
        <w:numPr>
          <w:ilvl w:val="0"/>
          <w:numId w:val="2"/>
        </w:numPr>
        <w:spacing w:after="70" w:line="264"/>
        <w:jc w:val="left"/>
      </w:pPr>
      <w:r>
        <w:rPr>
          <w:rFonts w:ascii="Calibri" w:cs="Calibri" w:eastAsia="Calibri" w:hAnsi="Calibri"/>
          <w:sz w:val="21"/>
          <w:szCs w:val="21"/>
        </w:rPr>
        <w:t xml:space="preserve">Life Member, National Academy of Sciences, India</w:t>
      </w:r>
    </w:p>
    <w:p>
      <w:pPr>
        <w:pStyle w:val="ListParagraph"/>
        <w:numPr>
          <w:ilvl w:val="0"/>
          <w:numId w:val="2"/>
        </w:numPr>
        <w:spacing w:after="70" w:line="264"/>
        <w:jc w:val="left"/>
      </w:pPr>
      <w:r>
        <w:rPr>
          <w:rFonts w:ascii="Calibri" w:cs="Calibri" w:eastAsia="Calibri" w:hAnsi="Calibri"/>
          <w:sz w:val="21"/>
          <w:szCs w:val="21"/>
        </w:rPr>
        <w:t xml:space="preserve">Life Member, Indian Science Congress Association</w:t>
      </w:r>
    </w:p>
    <w:p>
      <w:pPr>
        <w:pStyle w:val="ListParagraph"/>
        <w:numPr>
          <w:ilvl w:val="0"/>
          <w:numId w:val="2"/>
        </w:numPr>
        <w:spacing w:after="70" w:line="264"/>
        <w:jc w:val="left"/>
      </w:pPr>
      <w:r>
        <w:rPr>
          <w:rFonts w:ascii="Calibri" w:cs="Calibri" w:eastAsia="Calibri" w:hAnsi="Calibri"/>
          <w:sz w:val="21"/>
          <w:szCs w:val="21"/>
        </w:rPr>
        <w:t xml:space="preserve">Life Member, Indian Society of General and Comparative Endocrinology</w:t>
      </w:r>
    </w:p>
    <w:p>
      <w:pPr>
        <w:pStyle w:val="ListParagraph"/>
        <w:numPr>
          <w:ilvl w:val="0"/>
          <w:numId w:val="2"/>
        </w:numPr>
        <w:spacing w:after="70" w:line="264"/>
        <w:jc w:val="left"/>
      </w:pPr>
      <w:r>
        <w:rPr>
          <w:rFonts w:ascii="Calibri" w:cs="Calibri" w:eastAsia="Calibri" w:hAnsi="Calibri"/>
          <w:sz w:val="21"/>
          <w:szCs w:val="21"/>
        </w:rPr>
        <w:t xml:space="preserve">Life Member, Society for Reproductive Biology and Comparative Endocrinology</w:t>
      </w:r>
    </w:p>
    <w:p>
      <w:pPr>
        <w:keepNext/>
        <w:pBdr>
          <w:bottom w:val="single" w:color="A8843F" w:sz="8" w:space="3"/>
        </w:pBdr>
        <w:spacing w:after="120" w:before="300"/>
      </w:pPr>
      <w:r>
        <w:rPr>
          <w:rFonts w:ascii="Cambria" w:cs="Cambria" w:eastAsia="Cambria" w:hAnsi="Cambria"/>
          <w:b/>
          <w:bCs/>
          <w:color w:val="1F3A5F"/>
          <w:spacing w:val="30"/>
          <w:sz w:val="24"/>
          <w:szCs w:val="24"/>
        </w:rPr>
        <w:t xml:space="preserve">LANDMARK RESEARCH CONTRIBUTIONS</w:t>
      </w:r>
    </w:p>
    <w:p>
      <w:pPr>
        <w:spacing w:after="100" w:line="276"/>
        <w:jc w:val="both"/>
      </w:pPr>
      <w:r>
        <w:rPr>
          <w:rFonts w:ascii="Calibri" w:cs="Calibri" w:eastAsia="Calibri" w:hAnsi="Calibri"/>
          <w:sz w:val="21"/>
          <w:szCs w:val="21"/>
        </w:rPr>
        <w:t xml:space="preserve">Prof. Srivastav’s research spans </w:t>
      </w:r>
      <w:r>
        <w:rPr>
          <w:rFonts w:ascii="Calibri" w:cs="Calibri" w:eastAsia="Calibri" w:hAnsi="Calibri"/>
          <w:b/>
          <w:bCs/>
          <w:sz w:val="21"/>
          <w:szCs w:val="21"/>
        </w:rPr>
        <w:t xml:space="preserve">endocrine toxicity</w:t>
      </w:r>
      <w:r>
        <w:rPr>
          <w:rFonts w:ascii="Calibri" w:cs="Calibri" w:eastAsia="Calibri" w:hAnsi="Calibri"/>
          <w:sz w:val="21"/>
          <w:szCs w:val="21"/>
        </w:rPr>
        <w:t xml:space="preserve">, </w:t>
      </w:r>
      <w:r>
        <w:rPr>
          <w:rFonts w:ascii="Calibri" w:cs="Calibri" w:eastAsia="Calibri" w:hAnsi="Calibri"/>
          <w:b/>
          <w:bCs/>
          <w:sz w:val="21"/>
          <w:szCs w:val="21"/>
        </w:rPr>
        <w:t xml:space="preserve">heavy-metal toxicity</w:t>
      </w:r>
      <w:r>
        <w:rPr>
          <w:rFonts w:ascii="Calibri" w:cs="Calibri" w:eastAsia="Calibri" w:hAnsi="Calibri"/>
          <w:sz w:val="21"/>
          <w:szCs w:val="21"/>
        </w:rPr>
        <w:t xml:space="preserve"> and </w:t>
      </w:r>
      <w:r>
        <w:rPr>
          <w:rFonts w:ascii="Calibri" w:cs="Calibri" w:eastAsia="Calibri" w:hAnsi="Calibri"/>
          <w:b/>
          <w:bCs/>
          <w:sz w:val="21"/>
          <w:szCs w:val="21"/>
        </w:rPr>
        <w:t xml:space="preserve">comparative vertebrate endocrinology</w:t>
      </w:r>
      <w:r>
        <w:rPr>
          <w:rFonts w:ascii="Calibri" w:cs="Calibri" w:eastAsia="Calibri" w:hAnsi="Calibri"/>
          <w:sz w:val="21"/>
          <w:szCs w:val="21"/>
        </w:rPr>
        <w:t xml:space="preserve">. Contributions marked as first reports were new to science at the time of publication.</w:t>
      </w:r>
    </w:p>
    <w:p>
      <w:pPr>
        <w:keepNext/>
        <w:spacing w:after="80" w:before="180"/>
      </w:pPr>
      <w:r>
        <w:rPr>
          <w:rFonts w:ascii="Cambria" w:cs="Cambria" w:eastAsia="Cambria" w:hAnsi="Cambria"/>
          <w:b/>
          <w:bCs/>
          <w:color w:val="1F3A5F"/>
          <w:sz w:val="22"/>
          <w:szCs w:val="22"/>
        </w:rPr>
        <w:t xml:space="preserve">1.  Endocrine Toxicity</w:t>
      </w:r>
    </w:p>
    <w:p>
      <w:pPr>
        <w:spacing w:after="80"/>
        <w:jc w:val="both"/>
      </w:pPr>
      <w:r>
        <w:rPr>
          <w:rFonts w:ascii="Calibri" w:cs="Calibri" w:eastAsia="Calibri" w:hAnsi="Calibri"/>
          <w:sz w:val="21"/>
          <w:szCs w:val="21"/>
        </w:rPr>
        <w:t xml:space="preserve">Effects of organophosphate, pyrethroid, heavy-metal and plant-derived pesticides on blood electrolytes and calcium-regulating endocrine glands in fish and mammals.</w:t>
      </w:r>
    </w:p>
    <w:p>
      <w:pPr>
        <w:pStyle w:val="ListParagraph"/>
        <w:numPr>
          <w:ilvl w:val="0"/>
          <w:numId w:val="2"/>
        </w:numPr>
        <w:spacing w:after="70" w:line="264"/>
        <w:jc w:val="left"/>
      </w:pPr>
      <w:r>
        <w:rPr>
          <w:rFonts w:ascii="Calibri" w:cs="Calibri" w:eastAsia="Calibri" w:hAnsi="Calibri"/>
          <w:sz w:val="21"/>
          <w:szCs w:val="21"/>
        </w:rPr>
        <w:t xml:space="preserve">First demonstration of a direct effect of inorganic mercury on osteoclasts, using mRNA expression of osteoclastic markers (TRAP, cathepsin K) and the osteoblastic marker IGF-I; established the fish-scale assay as a tool for assessing environmental contaminants on bone metabolism.</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Investigated the effects of organophosphate, pyrethroid, heavy-metal and botanical pesticides on the ultimobranchial gland of fish.</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Showed in goldfish (freshwater) and wrasse (marine) that 3-OHBaA and 4-OHBaA (hydroxylated benz[a]anthracenes) suppress both osteoclasts and osteoblasts, disrupting bone metabolism in teleosts.</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Demonstrated that tributyltin acetate (TBTA) inhibits osteoblastic but not osteoclastic activity and disrupts calcium metabolism, including the calcemic hormone calcitonin, in goldfish.</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Established the inhibitory effects of organophosphates, pyrethroids and heavy metals on the corpuscles of Stannius, an endocrine gland unique to fishes.</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Reported, for the first time, the effects of botanical pesticides on the blood electrolytes of fish.</w:t>
      </w:r>
    </w:p>
    <w:p>
      <w:pPr>
        <w:pStyle w:val="ListParagraph"/>
        <w:numPr>
          <w:ilvl w:val="0"/>
          <w:numId w:val="2"/>
        </w:numPr>
        <w:spacing w:after="70" w:line="264"/>
        <w:jc w:val="left"/>
      </w:pPr>
      <w:r>
        <w:rPr>
          <w:rFonts w:ascii="Calibri" w:cs="Calibri" w:eastAsia="Calibri" w:hAnsi="Calibri"/>
          <w:sz w:val="21"/>
          <w:szCs w:val="21"/>
        </w:rPr>
        <w:t xml:space="preserve">Investigated the effects of organophosphates and pyrethroids on the prolactin cells of fish.</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Described new effects of chlorpyrifos on blood electrolytes, calcitonin cells and parathyroid glands of the rat.</w:t>
      </w:r>
    </w:p>
    <w:p>
      <w:pPr>
        <w:keepNext/>
        <w:spacing w:after="80" w:before="180"/>
      </w:pPr>
      <w:r>
        <w:rPr>
          <w:rFonts w:ascii="Cambria" w:cs="Cambria" w:eastAsia="Cambria" w:hAnsi="Cambria"/>
          <w:b/>
          <w:bCs/>
          <w:color w:val="1F3A5F"/>
          <w:sz w:val="22"/>
          <w:szCs w:val="22"/>
        </w:rPr>
        <w:t xml:space="preserve">2.  Heavy-Metal Toxicity</w:t>
      </w:r>
    </w:p>
    <w:p>
      <w:pPr>
        <w:pStyle w:val="ListParagraph"/>
        <w:numPr>
          <w:ilvl w:val="0"/>
          <w:numId w:val="2"/>
        </w:numPr>
        <w:spacing w:after="70" w:line="264"/>
        <w:jc w:val="left"/>
      </w:pPr>
      <w:r>
        <w:rPr>
          <w:rFonts w:ascii="Calibri" w:cs="Calibri" w:eastAsia="Calibri" w:hAnsi="Calibri"/>
          <w:sz w:val="21"/>
          <w:szCs w:val="21"/>
        </w:rPr>
        <w:t xml:space="preserve">Studied mono-therapy and combined therapy with chelating agents and antioxidants against heavy-metal toxicity in the rat; the first investigation of its kind on combined treatment as an antidote to mercury toxicity, for which efficient therapies are still lacking.</w:t>
      </w:r>
    </w:p>
    <w:p>
      <w:pPr>
        <w:pStyle w:val="ListParagraph"/>
        <w:numPr>
          <w:ilvl w:val="0"/>
          <w:numId w:val="2"/>
        </w:numPr>
        <w:spacing w:after="70" w:line="264"/>
        <w:jc w:val="left"/>
      </w:pPr>
      <w:r>
        <w:rPr>
          <w:rFonts w:ascii="Calibri" w:cs="Calibri" w:eastAsia="Calibri" w:hAnsi="Calibri"/>
          <w:sz w:val="21"/>
          <w:szCs w:val="21"/>
        </w:rPr>
        <w:t xml:space="preserve">Currently developing detoxification strategies that combine natural products with antioxidant supplementation to counter mercury-induced oxidative stress.</w:t>
      </w:r>
    </w:p>
    <w:p>
      <w:pPr>
        <w:pStyle w:val="ListParagraph"/>
        <w:numPr>
          <w:ilvl w:val="0"/>
          <w:numId w:val="2"/>
        </w:numPr>
        <w:spacing w:after="70" w:line="264"/>
        <w:jc w:val="left"/>
      </w:pPr>
      <w:r>
        <w:rPr>
          <w:rFonts w:ascii="Calibri" w:cs="Calibri" w:eastAsia="Calibri" w:hAnsi="Calibri"/>
          <w:sz w:val="21"/>
          <w:szCs w:val="21"/>
        </w:rPr>
        <w:t xml:space="preserve">The findings point to co-therapy with chelators and antioxidants or plant products as a basis for future cost-effective drug formulations that reduce mercury body burden and restore the antioxidant defence system.</w:t>
      </w:r>
    </w:p>
    <w:p>
      <w:pPr>
        <w:keepNext/>
        <w:spacing w:after="80" w:before="180"/>
      </w:pPr>
      <w:r>
        <w:rPr>
          <w:rFonts w:ascii="Cambria" w:cs="Cambria" w:eastAsia="Cambria" w:hAnsi="Cambria"/>
          <w:b/>
          <w:bCs/>
          <w:color w:val="1F3A5F"/>
          <w:sz w:val="22"/>
          <w:szCs w:val="22"/>
        </w:rPr>
        <w:t xml:space="preserve">3.  Comparative Vertebrate Endocrinology</w:t>
      </w:r>
    </w:p>
    <w:p>
      <w:pPr>
        <w:spacing w:after="80"/>
        <w:jc w:val="both"/>
      </w:pPr>
      <w:r>
        <w:rPr>
          <w:rFonts w:ascii="Calibri" w:cs="Calibri" w:eastAsia="Calibri" w:hAnsi="Calibri"/>
          <w:sz w:val="21"/>
          <w:szCs w:val="21"/>
        </w:rPr>
        <w:t xml:space="preserve">In-depth studies on calcium regulation and the role of hormones in lower vertebrates, which have influenced researchers in comparative endocrinology worldwide.</w:t>
      </w:r>
    </w:p>
    <w:p>
      <w:pPr>
        <w:pStyle w:val="ListParagraph"/>
        <w:numPr>
          <w:ilvl w:val="0"/>
          <w:numId w:val="2"/>
        </w:numPr>
        <w:spacing w:after="70" w:line="264"/>
        <w:jc w:val="left"/>
      </w:pPr>
      <w:r>
        <w:rPr>
          <w:rFonts w:ascii="Calibri" w:cs="Calibri" w:eastAsia="Calibri" w:hAnsi="Calibri"/>
          <w:sz w:val="21"/>
          <w:szCs w:val="21"/>
        </w:rPr>
        <w:t xml:space="preserve">Reported effects of corpuscles of Stannius extract in elasmobranch, frog, snake and bird, and proposed in 1982 that receptors for stanniocalcin exist in non-piscine vertebrates. This opened a new avenue of research that led to the discovery of stanniocalcin-like substances in mammals, including humans.</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Established the role of vitamin D and its metabolites in calcium regulation of fish, a view earlier rejected but now widely accepted.</w:t>
      </w:r>
    </w:p>
    <w:p>
      <w:pPr>
        <w:pStyle w:val="ListParagraph"/>
        <w:numPr>
          <w:ilvl w:val="0"/>
          <w:numId w:val="2"/>
        </w:numPr>
        <w:spacing w:after="70" w:line="264"/>
        <w:jc w:val="left"/>
      </w:pPr>
      <w:r>
        <w:rPr>
          <w:rFonts w:ascii="Calibri" w:cs="Calibri" w:eastAsia="Calibri" w:hAnsi="Calibri"/>
          <w:sz w:val="21"/>
          <w:szCs w:val="21"/>
        </w:rPr>
        <w:t xml:space="preserve">Overruled the hypothesis that calcitonin acts as an anti-hypercalcemic hormone in fish, and demonstrated its hypocalcemic effect under diminished circulating calcitonin levels.</w:t>
      </w:r>
    </w:p>
    <w:p>
      <w:pPr>
        <w:pStyle w:val="ListParagraph"/>
        <w:numPr>
          <w:ilvl w:val="0"/>
          <w:numId w:val="2"/>
        </w:numPr>
        <w:spacing w:after="70" w:line="264"/>
        <w:jc w:val="left"/>
      </w:pPr>
      <w:r>
        <w:rPr>
          <w:rFonts w:ascii="Calibri" w:cs="Calibri" w:eastAsia="Calibri" w:hAnsi="Calibri"/>
          <w:sz w:val="21"/>
          <w:szCs w:val="21"/>
        </w:rPr>
        <w:t xml:space="preserve">Effect of 1,25(OH)₂D₃ on stanniocalcin levels in tilapia.</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Effects of prolactin and 1,25(OH)₂D₃ on plasma electrolytes and the ultimobranchial and parathyroid glands of the pigeon.</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Hypercalcemic effect of vitamin D and its metabolites in reptiles, and effects of 1,25(OH)₂D₃ in newts and lizards.</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Hypercalcemic effect of vitamin D in fishes, independent of environmental calcium content.</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Effects of prolactin on calcium regulation in amphibians and reptiles.</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Established the correlation between glucagon and calcium-regulating endocrine glands in fish, amphibians, birds and mammals.</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Identified calcitonin-immunoreactive cells in the intestine of goldfish and in the digestive tract of amphioxus.</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Detected estrogen receptors in the teleost ultimobranchial gland and showed estrogen-induced calcitonin secretion.</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Effect of calcitonin in a cartilaginous fish, the stingray.</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Characterised a calcitonin-like substance from the Brockmann bodies of medaka.</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Determined N-terminal amino-acid sequences of calcitonin in several vertebrates.</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Compared the effects of fugu PTH1 and human PTH on osteoblastic and osteoclastic activity in goldfish scales.</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Direct effects of prostaglandin E2 on osteoclasts and osteoblasts of teleost scales, using an </w:t>
      </w:r>
      <w:r>
        <w:rPr>
          <w:rFonts w:ascii="Calibri" w:cs="Calibri" w:eastAsia="Calibri" w:hAnsi="Calibri"/>
          <w:i/>
          <w:iCs/>
          <w:sz w:val="21"/>
          <w:szCs w:val="21"/>
        </w:rPr>
        <w:t xml:space="preserve">in vitro</w:t>
      </w:r>
      <w:r>
        <w:rPr>
          <w:rFonts w:ascii="Calibri" w:cs="Calibri" w:eastAsia="Calibri" w:hAnsi="Calibri"/>
          <w:sz w:val="21"/>
          <w:szCs w:val="21"/>
        </w:rPr>
        <w:t xml:space="preserve"> assay system.</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Cloned CaSR cDNA from regenerating goldfish scales and examined the effect of acceleration loading (3G vibration) on its expression.</w:t>
      </w:r>
      <w:r>
        <w:rPr>
          <w:rFonts w:ascii="Calibri" w:cs="Calibri" w:eastAsia="Calibri" w:hAnsi="Calibri"/>
          <w:b/>
          <w:bCs/>
          <w:color w:val="A8843F"/>
          <w:spacing w:val="20"/>
          <w:sz w:val="16"/>
          <w:szCs w:val="16"/>
        </w:rPr>
        <w:t xml:space="preserve">  FIRST REPORT</w:t>
      </w:r>
    </w:p>
    <w:p>
      <w:pPr>
        <w:pStyle w:val="ListParagraph"/>
        <w:numPr>
          <w:ilvl w:val="0"/>
          <w:numId w:val="2"/>
        </w:numPr>
        <w:spacing w:after="70" w:line="264"/>
        <w:jc w:val="left"/>
      </w:pPr>
      <w:r>
        <w:rPr>
          <w:rFonts w:ascii="Calibri" w:cs="Calibri" w:eastAsia="Calibri" w:hAnsi="Calibri"/>
          <w:sz w:val="21"/>
          <w:szCs w:val="21"/>
        </w:rPr>
        <w:t xml:space="preserve">Showed that monohydroxylated polycyclic aromatic hydrocarbons suppress spicule formation in the sea urchin </w:t>
      </w:r>
      <w:r>
        <w:rPr>
          <w:rFonts w:ascii="Calibri" w:cs="Calibri" w:eastAsia="Calibri" w:hAnsi="Calibri"/>
          <w:i/>
          <w:iCs/>
          <w:sz w:val="21"/>
          <w:szCs w:val="21"/>
        </w:rPr>
        <w:t xml:space="preserve">Hemicentrotus pulcherrimus</w:t>
      </w:r>
      <w:r>
        <w:rPr>
          <w:rFonts w:ascii="Calibri" w:cs="Calibri" w:eastAsia="Calibri" w:hAnsi="Calibri"/>
          <w:sz w:val="21"/>
          <w:szCs w:val="21"/>
        </w:rPr>
        <w:t xml:space="preserve">.</w:t>
      </w:r>
      <w:r>
        <w:rPr>
          <w:rFonts w:ascii="Calibri" w:cs="Calibri" w:eastAsia="Calibri" w:hAnsi="Calibri"/>
          <w:b/>
          <w:bCs/>
          <w:color w:val="A8843F"/>
          <w:spacing w:val="20"/>
          <w:sz w:val="16"/>
          <w:szCs w:val="16"/>
        </w:rPr>
        <w:t xml:space="preserve">  FIRST REPORT</w:t>
      </w:r>
    </w:p>
    <w:sectPr>
      <w:footerReference w:type="default" r:id="rId6"/>
      <w:pgSz w:w="11906" w:h="16838" w:orient="portrait"/>
      <w:pgMar w:top="900" w:right="1080" w:bottom="90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7E2" w:sz="4" w:space="4"/>
      </w:pBdr>
      <w:tabs>
        <w:tab w:val="right" w:pos="9746"/>
      </w:tabs>
    </w:pPr>
    <w:r>
      <w:rPr>
        <w:rFonts w:ascii="Calibri" w:cs="Calibri" w:eastAsia="Calibri" w:hAnsi="Calibri"/>
        <w:color w:val="595959"/>
        <w:sz w:val="16"/>
        <w:szCs w:val="16"/>
      </w:rPr>
      <w:t xml:space="preserve">Prof. Ajai Kumar Srivastav  ·  Curriculum Vitae</w:t>
    </w:r>
    <w:r>
      <w:rPr>
        <w:rFonts w:ascii="Calibri" w:cs="Calibri" w:eastAsia="Calibri" w:hAnsi="Calibri"/>
        <w:color w:val="595959"/>
        <w:sz w:val="16"/>
        <w:szCs w:val="16"/>
      </w:rPr>
      <w:t xml:space="preserve">	Page </w:t>
    </w:r>
    <w:r>
      <w:rPr>
        <w:rFonts w:ascii="Calibri" w:cs="Calibri" w:eastAsia="Calibri" w:hAnsi="Calibri"/>
        <w:color w:val="595959"/>
        <w:sz w:val="16"/>
        <w:szCs w:val="16"/>
      </w:rPr>
      <w:fldChar w:fldCharType="begin"/>
      <w:instrText xml:space="preserve">PAGE</w:instrText>
      <w:fldChar w:fldCharType="separate"/>
      <w:fldChar w:fldCharType="end"/>
    </w:r>
    <w:r>
      <w:rPr>
        <w:rFonts w:ascii="Calibri" w:cs="Calibri" w:eastAsia="Calibri" w:hAnsi="Calibri"/>
        <w:color w:val="595959"/>
        <w:sz w:val="16"/>
        <w:szCs w:val="16"/>
      </w:rPr>
      <w:t xml:space="preserve"> of </w:t>
    </w:r>
    <w:r>
      <w:rPr>
        <w:rFonts w:ascii="Calibri" w:cs="Calibri" w:eastAsia="Calibri" w:hAnsi="Calibri"/>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70"/>
      </w:pPr>
      <w:rPr>
        <w:color w:val="A8843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 Ajai Kumar Srivastav</dc:title>
  <dc:creator>Prof. Ajai Kumar Srivastav</dc:creator>
  <cp:lastModifiedBy>Un-named</cp:lastModifiedBy>
  <cp:revision>1</cp:revision>
  <dcterms:created xsi:type="dcterms:W3CDTF">2026-11-01T18:59:56.709Z</dcterms:created>
  <dcterms:modified xsi:type="dcterms:W3CDTF">2026-11-01T18:59:56.710Z</dcterms:modified>
</cp:coreProperties>
</file>

<file path=docProps/custom.xml><?xml version="1.0" encoding="utf-8"?>
<Properties xmlns="http://schemas.openxmlformats.org/officeDocument/2006/custom-properties" xmlns:vt="http://schemas.openxmlformats.org/officeDocument/2006/docPropsVTypes"/>
</file>